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5715</wp:posOffset>
            </wp:positionV>
            <wp:extent cx="7550785" cy="10319385"/>
            <wp:effectExtent l="0" t="0" r="12065" b="5715"/>
            <wp:wrapSquare wrapText="bothSides"/>
            <wp:docPr id="5" name="图片 5" descr="F:\马芸工作文件夹\金融总裁研修班\金融总监班宣传册（印刷版）11.jpg金融总监班宣传册（印刷版）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马芸工作文件夹\金融总裁研修班\金融总监班宣传册（印刷版）11.jpg金融总监班宣传册（印刷版）1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31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584200</wp:posOffset>
            </wp:positionV>
            <wp:extent cx="2054860" cy="671830"/>
            <wp:effectExtent l="0" t="0" r="2540" b="13970"/>
            <wp:wrapSquare wrapText="bothSides"/>
            <wp:docPr id="6" name="图片 6" descr="课程简章小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课程简章小图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近年以来，在房地产融资大幅收紧、棚改货币化大幅下降的大背景下， 房地产市场降温趋势明显。2019年7月30日，中央再次强调坚持房子是用来住的、不是用来炒的定位，要求落实房地产长效管理机制，提出不将房地产作为短期刺激经济的手段。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伴随着史上最为严厉的房地产行业调控，行业高利润的繁荣过后，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进入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从良莠并存到优胜劣汰的行业大洗牌时代，房地产企业面临着转型升级的关口，全产业链创新升级的历史大机遇。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208280</wp:posOffset>
                </wp:positionV>
                <wp:extent cx="5733415" cy="1952625"/>
                <wp:effectExtent l="6350" t="6350" r="13335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2729230"/>
                          <a:ext cx="5733415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16.4pt;height:153.75pt;width:451.45pt;z-index:251666432;v-text-anchor:middle;mso-width-relative:page;mso-height-relative:page;" filled="f" stroked="t" coordsize="21600,21600" arcsize="0.166666666666667" o:gfxdata="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DBMObWAAAACAEAAA8AAAAAAAAAAQAgAAAAIgAAAGRycy9kb3du&#10;cmV2LnhtbFBLAQIUABQAAAAIAIdO4kDoMh/0cwIAAKAEAAAOAAAAAAAAAAEAIAAAACUBAABkcnMv&#10;ZTJvRG9jLnhtbFBLBQYAAAAABgAGAFkBAAAKBgAAAAA=&#10;">
                <v:fill on="f" focussize="0,0"/>
                <v:stroke weight="1pt" color="#C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正迎来从“卖方市场”到“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买方市场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从分散到集中、从粗放经营到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精细化经营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房地产行业也将从单一渠道融资逐步转化成为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多元化的结构融资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从房地产基金的如日中天到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房地产投资信托方兴未艾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从房地产股权融资到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房地产证券化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从房地产融资租赁到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房地产并购合作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内融资到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外融资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  <w:t>金融业与房地产业的深度融合是不可阻挡的行业趋势！</w:t>
      </w: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面对竞争空前激烈的市场新环境，企业发展对领导者素质的要求越来越高，限制企业发展的因素往往不是行业形势，政策变化，而是企业领导者本身，房地产企业老板或者高管要有资本格局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金融思维，也需要从业务型人才转向经营型人才、复合型人才，提升自己的关键领导力，才能在激流勇进的竞争中永远立于不败之地，带领企业迎帆远航！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208280</wp:posOffset>
                </wp:positionV>
                <wp:extent cx="5733415" cy="1685925"/>
                <wp:effectExtent l="6350" t="6350" r="13335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16.4pt;height:132.75pt;width:451.45pt;z-index:251675648;v-text-anchor:middle;mso-width-relative:page;mso-height-relative:page;" filled="f" stroked="t" coordsize="21600,21600" arcsize="0.166666666666667" o:gfxdata="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h/RLE1gAAAAgBAAAPAAAAAAAAAAEAIAAAACIAAABkcnMvZG93bnJldi54bWxQSwECFAAU&#10;AAAACACHTuJA14m4jGUCAACUBAAADgAAAAAAAAABACAAAAAlAQAAZHJzL2Uyb0RvYy54bWxQSwUG&#10;AAAAAAYABgBZAQAA/AUAAAAA&#10;">
                <v:fill on="f" focussize="0,0"/>
                <v:stroke weight="1pt" color="#C0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如何洞悉经济政策形势，明晰行业发展趋势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如何坚定战略思想，引领企业更快更远前行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如何提升格局，建立行业思维，统筹资源与战略匹配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如何低成本多渠道获取资金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如何高效获取优质项目且精准研判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如何在新的融资环境中做好风险防控，合规运营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</w:rPr>
        <w:t>这些都是地产企业领导者需要持续学习并带领企业做大做强的关键！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-352425</wp:posOffset>
            </wp:positionV>
            <wp:extent cx="2183765" cy="855345"/>
            <wp:effectExtent l="0" t="0" r="0" b="0"/>
            <wp:wrapSquare wrapText="bothSides"/>
            <wp:docPr id="9" name="图片 9" descr="项目特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项目特色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widowControl/>
        <w:numPr>
          <w:ilvl w:val="0"/>
          <w:numId w:val="0"/>
        </w:numPr>
        <w:tabs>
          <w:tab w:val="left" w:pos="900"/>
        </w:tabs>
        <w:spacing w:before="156" w:beforeLines="50" w:after="156" w:afterLines="50" w:line="400" w:lineRule="exact"/>
        <w:ind w:left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教学模式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传承北京大学先进的教学理念， 领导力提升课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+金融创新课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+第二课堂+标杆项目参访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课程内容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课程分为管理和金融两部分，管理课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程旨在领导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力提升，明道、取势、优术、树人。金融课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程旨在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房地产专业能力提升，募、投、管、退，理论与实践相结合。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专业师资：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管理课部分由北京大学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教授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亲自授课，正本清源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金融课部分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由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政府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部门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相关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领导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行业专家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授课，实操落地。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资源对接</w:t>
      </w:r>
      <w:r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平台成立亚太基金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整合数十家金融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机构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和标杆房企资源对接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国家开发银行、工商银行、建设银行、鼎信长城、信保基金、万科地产、恒大地产、碧桂园、雅居乐、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华侨城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、融创地产等</w:t>
      </w:r>
      <w:bookmarkStart w:id="0" w:name="_Hlk22659692"/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。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-266700</wp:posOffset>
            </wp:positionH>
            <wp:positionV relativeFrom="page">
              <wp:posOffset>4434840</wp:posOffset>
            </wp:positionV>
            <wp:extent cx="2214245" cy="866775"/>
            <wp:effectExtent l="0" t="0" r="0" b="0"/>
            <wp:wrapSquare wrapText="bothSides"/>
            <wp:docPr id="11" name="图片 11" descr="设计理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设计理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bookmarkEnd w:id="0"/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2830195</wp:posOffset>
            </wp:positionH>
            <wp:positionV relativeFrom="paragraph">
              <wp:posOffset>8255</wp:posOffset>
            </wp:positionV>
            <wp:extent cx="3060700" cy="1454150"/>
            <wp:effectExtent l="0" t="0" r="0" b="0"/>
            <wp:wrapSquare wrapText="bothSides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北京大学房地产研究课题组经过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多年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的理论和实践探索，总结形成了未来社会“房地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产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决策者能力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模型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”这个较为成熟的理论。房地产在当前环境下，其决策层应当具备以下三项基本的能力，才能适应未来的发展。</w:t>
      </w:r>
    </w:p>
    <w:p>
      <w:pPr>
        <w:widowControl/>
        <w:tabs>
          <w:tab w:val="left" w:pos="600"/>
        </w:tabs>
        <w:snapToGrid w:val="0"/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600"/>
        </w:tabs>
        <w:snapToGrid w:val="0"/>
        <w:spacing w:before="156" w:beforeLines="50" w:after="156" w:afterLines="50" w:line="400" w:lineRule="exact"/>
        <w:ind w:firstLine="720" w:firstLineChars="300"/>
        <w:jc w:val="left"/>
        <w:rPr>
          <w:rFonts w:ascii="微软雅黑" w:hAnsi="微软雅黑" w:eastAsia="微软雅黑" w:cs="宋体"/>
          <w:b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458470</wp:posOffset>
            </wp:positionV>
            <wp:extent cx="3355975" cy="2241550"/>
            <wp:effectExtent l="0" t="0" r="0" b="0"/>
            <wp:wrapSquare wrapText="bothSides"/>
            <wp:docPr id="18" name="图片 18" descr="微信图片_2019101818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1910181807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461645</wp:posOffset>
            </wp:positionV>
            <wp:extent cx="2762250" cy="2459355"/>
            <wp:effectExtent l="0" t="0" r="0" b="17145"/>
            <wp:wrapSquare wrapText="bothSides"/>
            <wp:docPr id="17" name="图片 17" descr="C:\Users\Administrator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1.png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 xml:space="preserve">领导力课程体系模型 </w:t>
      </w:r>
      <w:r>
        <w:rPr>
          <w:rFonts w:ascii="微软雅黑" w:hAnsi="微软雅黑" w:eastAsia="微软雅黑" w:cs="宋体"/>
          <w:b/>
          <w:kern w:val="0"/>
          <w:sz w:val="24"/>
          <w:szCs w:val="24"/>
        </w:rPr>
        <w:t xml:space="preserve">                      </w:t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>金融创新课程体系模型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pStyle w:val="18"/>
        <w:widowControl/>
        <w:numPr>
          <w:ilvl w:val="0"/>
          <w:numId w:val="2"/>
        </w:numPr>
        <w:tabs>
          <w:tab w:val="left" w:pos="900"/>
        </w:tabs>
        <w:spacing w:line="400" w:lineRule="exact"/>
        <w:ind w:firstLineChars="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领导力课程体系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以西方管理学理论与方法为基础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，结合中国企业特点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24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聘请国际国内顶级领导力专家与标杆房企核心高管授课，系统塑造领导者的自我认知与领导力，为地产行业输出更多优秀的管理者。</w:t>
      </w:r>
    </w:p>
    <w:p>
      <w:pPr>
        <w:pStyle w:val="18"/>
        <w:widowControl/>
        <w:numPr>
          <w:ilvl w:val="0"/>
          <w:numId w:val="2"/>
        </w:numPr>
        <w:tabs>
          <w:tab w:val="left" w:pos="600"/>
        </w:tabs>
        <w:snapToGrid w:val="0"/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地产金融课程体系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从最前沿的案例解析，最实用的操作分享，学习系统的房地产开发投融资运作理念、流程、方法及经验，帮助学员拓宽地产金融视野，系统学习地产金融技能！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-28575</wp:posOffset>
            </wp:positionH>
            <wp:positionV relativeFrom="page">
              <wp:posOffset>2817495</wp:posOffset>
            </wp:positionV>
            <wp:extent cx="2054860" cy="671830"/>
            <wp:effectExtent l="0" t="0" r="2540" b="13970"/>
            <wp:wrapSquare wrapText="bothSides"/>
            <wp:docPr id="12" name="图片 12" descr="课程简章小图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课程简章小图标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tbl>
      <w:tblPr>
        <w:tblStyle w:val="8"/>
        <w:tblW w:w="91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2"/>
            <w:shd w:val="clear" w:color="auto" w:fill="800000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领导力·素养提升篇</w:t>
            </w:r>
          </w:p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管理者个人素养夯实与提升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 xml:space="preserve">明道--自我认知、共启愿景、领军之道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领导者的自我认识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愿景领导力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领导力就是影响力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领导者的影响力和权力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领导力与领导艺术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西点军校领军之道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领导力的观察体验与反思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取势--应势而为、创新开拓、有效决策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Cs w:val="21"/>
                <w:lang w:eastAsia="zh-CN"/>
              </w:rPr>
              <w:t>宏观政策与行业趋势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领导者的战略思维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战略领导力提升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战略设计、执行与落地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战略与高效决策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变革领导力的四大关键行动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领导者的创新思维突破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优术--塑造组织、建立机制、使众人行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全管理视角赋能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价值与目标--如何凝心聚力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管控与架构--如何科学管控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界面与协作--如何消除摩擦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运营与协同--如何高效运营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激励与业绩--如何业绩必达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领导与执行--如何强化执行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树人--选贤任能、培养下属、激励团队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领军人才的选、用、育、留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关键业务及管理人才培养策略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管理者的七大关键思维与角色定位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激活组织、点燃员工动力、驱动高效业绩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不同领导风格的沟通法则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管理问题分析与决策之道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团队分析及个人行动计划制定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2"/>
            <w:shd w:val="clear" w:color="auto" w:fill="800000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金融·资本致胜篇</w:t>
            </w:r>
          </w:p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房地产金融创新与资本运作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房地产金融行业政策分析及投资决策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中国经济、房地产市场、政策、行业现状和趋势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 xml:space="preserve">金融监管最新政策梳理及对地产融资的影响                        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城市房地产投资潜力的评估与分析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房地产一级市场投资分析与策略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房地产二级市场投资分析与策略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商业地产投资分析与对策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房企PreIP0的投资策略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房企上市后的投资策略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房地产投资项目分析及不同产品的投资策略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影响房地产市场长期、中短期趋势主要因素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标杆房企对城市区域的选择方式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房地产企业投资布局原则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土地和项目获得的方式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四张表（成本和利润、现金流、工期、销售计划）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住宅和长租公寓、办公楼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商业、酒店、文旅和康养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 xml:space="preserve">物流和工业厂房等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房地产开发全流程融资模式与策略创新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招拍挂阶段保证金的融资方式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招拍挂阶段土地款的融资方式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土地证获得后的融资方式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四证获得后的融资方式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城市更新/三旧改造项目的拆迁款融资方式等融资方式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开发建设阶段的其它融资方式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销售阶段的融资方式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物业自持经营阶段融资方式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标杆案例分析</w:t>
            </w:r>
          </w:p>
        </w:tc>
        <w:tc>
          <w:tcPr>
            <w:tcW w:w="4706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新形势下房地产股权和资产并购</w:t>
            </w:r>
            <w:r>
              <w:rPr>
                <w:rStyle w:val="16"/>
                <w:rFonts w:hint="default" w:ascii="微软雅黑" w:hAnsi="微软雅黑" w:eastAsia="微软雅黑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房地产并购的内容和战略动因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房地产并购中交易结构设计、风险控制及法务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房地产并购全流程和关键风险点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风险点的应对解决措施之一：前期阶段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风险点的应对措施之二：尽职调查和分析决策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风险点的应对措施之三：融资和支付方式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风险点的应对解决措施之四：合作项目的管理方式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管理层收购（MBO)与员工持股计划（ESOP)杠杆收购（LBO)的方式与策略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房地产私募基金实践和创新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房地产行业和房地产私募基金的现状和发展趋势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房地产企业股权和债权的合理安排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房地产私募基金的概念和分类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私募基金的法律和政策环境和案例分析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私募基金和民间融资及其合规募集及案例分析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当前房地产私募基金主要投资哪些项目？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房地产私募基金投资流程（融投管退）和案例分析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房地产企业怎样与房地产私募投资基金对接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不同房地产产品与私募基金和证券化的结合与案例分析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房地产资产证券化实践和创新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我国房地产资产证券化的背景和前景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房地产资产证券化最新政策及主管部门的意见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ABS、CMBS和REITs等产品的内容、特点和比较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房地产资产证券化与其它融资产品比较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海外的房地产投资信托基金(REITs)介绍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海外上市的中国房地产 REITs案例分析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我国房地产资产证券化的主要法律、税务、政策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我国房地产资产证券化（含ABS、CMBS、REITs）运作流程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2019年年房地产资产证券化创新产品和亮点。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房地产轻资产模式和管理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房地产轻资产管理发展背景和主要内容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代建模式（含绿城、金地、红星美凯龙和万达案例分析）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小股操盘模式 （万科案例分析）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代建 + 基金模式 （盛世神州案例分析）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房地产轻资产管理和资产证券化房地产轻资产项目管理方式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房地产轻资产管理模式设计和方法</w:t>
            </w:r>
          </w:p>
        </w:tc>
        <w:tc>
          <w:tcPr>
            <w:tcW w:w="4706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房地产（存量）资产管理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商业地产的运营及其发展趋势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地产运营管理的流程和主要内容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商业地产资产和租金评估方式及投资报告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商业地产租金提升、成本控制和价值提升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商业地产融资和资产证券化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长租公寓和联合办公资产证券化REITs和ABS案例分析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各类案例分析和互动问答环节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395" w:type="dxa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房地产企业风险管理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房地产企业金融风险规避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房地产开发市场风险识别与防范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跨区域发展房地产企业管理风险识别及规避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房地产开发项目运营及风险管理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房地产企业财务、法律风险控制</w:t>
            </w:r>
          </w:p>
        </w:tc>
        <w:tc>
          <w:tcPr>
            <w:tcW w:w="4706" w:type="dxa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房地产企业财务管理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财务战略和价值创造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项目预决算与业绩评估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财务报表分析、全面预算与成本控制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利润分析与现金流控制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税收筹划与合理避税</w:t>
            </w:r>
          </w:p>
        </w:tc>
      </w:tr>
    </w:tbl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-78105</wp:posOffset>
            </wp:positionH>
            <wp:positionV relativeFrom="page">
              <wp:posOffset>4643120</wp:posOffset>
            </wp:positionV>
            <wp:extent cx="2072640" cy="811530"/>
            <wp:effectExtent l="0" t="0" r="0" b="0"/>
            <wp:wrapSquare wrapText="bothSides"/>
            <wp:docPr id="13" name="图片 13" descr="F:\马芸工作文件夹\总裁班\师资力量.png师资力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马芸工作文件夹\总裁班\师资力量.png师资力量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仇保兴：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国务院参事，原住房和城乡建设部副部长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贾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康：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全国政协委员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，财政部财政研究所原所长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董志勇：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北京大学经济学院党委书纪、院长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何晓峰：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杨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 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壮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北京大学国家发展研究院BiMBA商学院联席院长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著名领导力专家 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王跃生：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北京大学国际经济研究所所长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欧阳良宜：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北京大学汇丰商学院金融学副教授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冯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房西苑：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北京大学教授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北京大学国情研究中心研究员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林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维：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中国社科院大学副校长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原最高人民法院民事厅副厅长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秦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中国人民大学教授，原住建部政策研究中心主任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>陈  淮：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中国城乡建设经济研究所所长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孟晓苏：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中房集团理事长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幸福人寿监事长、汇力基金董事长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陈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平：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万达集团副总裁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原万达学院院长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宋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国家开发银行总专家，P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PP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项目投融资专家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吴坤岭：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天禄基金总裁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原国美地产总经理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张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健：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盛世神州基金合伙人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瑞轼投资总裁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李  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浙江金汇信托股份有限公司常务副总裁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慈  锋：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中粮信托有限责任公司产业资本部总经理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  欣：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原碧桂园营销学院院长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原万达学院教学副总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原华润置地培训总监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王少鹏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知名上市地产集团核心高管，房地产行动学习专家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房地产分布式组织专家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沈小斌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: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中国 6P领导力首席顾问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国内著名领导力与项目管理专家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第一领导力中心创始人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4664075</wp:posOffset>
            </wp:positionV>
            <wp:extent cx="2057400" cy="673735"/>
            <wp:effectExtent l="0" t="0" r="0" b="12065"/>
            <wp:wrapSquare wrapText="bothSides"/>
            <wp:docPr id="14" name="图片 14" descr="学习对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习对象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  <w:lang w:eastAsia="zh-CN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a.</w:t>
      </w:r>
      <w:r>
        <w:rPr>
          <w:rFonts w:ascii="微软雅黑" w:hAnsi="微软雅黑" w:eastAsia="微软雅黑"/>
          <w:szCs w:val="21"/>
        </w:rPr>
        <w:t>房地产及相关企业董事长、总裁、董事、战略决策者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b.</w:t>
      </w:r>
      <w:r>
        <w:rPr>
          <w:rFonts w:ascii="微软雅黑" w:hAnsi="微软雅黑" w:eastAsia="微软雅黑"/>
          <w:szCs w:val="21"/>
        </w:rPr>
        <w:t>金融机构决策者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c.</w:t>
      </w:r>
      <w:r>
        <w:rPr>
          <w:rFonts w:ascii="微软雅黑" w:hAnsi="微软雅黑" w:eastAsia="微软雅黑"/>
          <w:szCs w:val="21"/>
        </w:rPr>
        <w:t>投资公司、资产管理董事长、总裁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-95250</wp:posOffset>
            </wp:positionH>
            <wp:positionV relativeFrom="page">
              <wp:posOffset>6793865</wp:posOffset>
            </wp:positionV>
            <wp:extent cx="2142490" cy="838835"/>
            <wp:effectExtent l="0" t="0" r="0" b="0"/>
            <wp:wrapSquare wrapText="bothSides"/>
            <wp:docPr id="15" name="图片 15" descr="入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入学流程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</w:p>
    <w:p>
      <w:pPr>
        <w:snapToGrid w:val="0"/>
        <w:spacing w:before="156" w:beforeLines="50" w:after="156" w:afterLines="50" w:line="400" w:lineRule="exact"/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</w:pP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4pt;margin-top:10.35pt;height:0pt;width:28.35pt;z-index:251759616;mso-width-relative:page;mso-height-relative:page;" filled="f" stroked="t" coordsize="21600,21600" o:gfxdata="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9mUMwuG7uj23fX3tx9vv3759uH6x837FH/+xChP&#10;Yg0+VFSzshs87oLfYGK+b9GkN3Fi+yzw4SSw3Ecm6PBsXpaPzzkTd6nivs5jiE+lMywFNQ8RQXV9&#10;XDlr6RYdTrO+sHsWInWmwruC1NS6K6V1vkxt2VDz+dk5XbcAslSrIVJoPJEMtuMMdEdeFREzYnBa&#10;Nak64QTstiuNbAfkl1WZnsSauv32WWq9htCP3+XU6CSjItlZK1Pzi1M1VBGUfmIbFg+e9AVEN/A0&#10;pZENZ1rSNCkaG2lL/ZLMo7Ap2rrmkPXO5+SEPNHRtclqv+5z9f2/tf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sj9MdkAAAAJAQAADwAAAAAAAAABACAAAAAiAAAAZHJzL2Rvd25yZXYueG1sUEsB&#10;AhQAFAAAAAgAh07iQG8OPA/0AQAAowMAAA4AAAAAAAAAAQAgAAAAKAEAAGRycy9lMm9Eb2MueG1s&#10;UEsFBgAAAAAGAAYAWQEAAI4FAAAAAA=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5pt;margin-top:10.35pt;height:0pt;width:28.35pt;z-index:251708416;mso-width-relative:page;mso-height-relative:page;" filled="f" stroked="t" coordsize="21600,21600" o:gfxdata="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xnJY8HQHd2+u/7+9uPt1y/fPlz/uHmf4s+fGOVJ&#10;rMGHimpWdoPHXfAbTMz3LZr0Jk5snwU+nASW+8gEHZ7Ny/LxOWfiLlXc13kM8al0hqWg5iEiqK6P&#10;K2ct3aLDadYXds9CpM5UeFeQmlp3pbTOl6ktG2o+PzsnPgLIUq2GSKHxRDLYjjPQHXlVRMyIwWnV&#10;pOqEE7DbrjSyHZBfVmV6Emvq9ttnqfUaQj9+l1Ojk4yKZGetTM0vTtVQRVD6iW1YPHjSFxDdwNOU&#10;RjacaUnTpGhspC31SzKPwqZo65pD1jufkxPyREfXJqv9us/V9//W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2MK92QAAAAkBAAAPAAAAAAAAAAEAIAAAACIAAABkcnMvZG93bnJldi54bWxQSwEC&#10;FAAUAAAACACHTuJAnTccPPMBAACjAwAADgAAAAAAAAABACAAAAAoAQAAZHJzL2Uyb0RvYy54bWxQ&#10;SwUGAAAAAAYABgBZAQAAjQUAAAAA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140970</wp:posOffset>
                </wp:positionV>
                <wp:extent cx="360045" cy="0"/>
                <wp:effectExtent l="0" t="48895" r="1905" b="654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1185" y="7766685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11.1pt;height:0pt;width:28.35pt;z-index:251682816;mso-width-relative:page;mso-height-relative:page;" filled="f" stroked="t" coordsize="21600,21600" o:gfxdata="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4AQDYAAAACQEAAA8AAAAAAAAAAQAgAAAAIgAAAGRycy9k&#10;b3ducmV2LnhtbFBLAQIUABQAAAAIAIdO4kDUV57PAgIAAK8DAAAOAAAAAAAAAAEAIAAAACcBAABk&#10;cnMvZTJvRG9jLnhtbFBLBQYAAAAABgAGAFkBAACbBQAAAAA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01申请材料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02资格审核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03录取通知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04缴纳学费</w:t>
      </w: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微软雅黑" w:hAnsi="微软雅黑" w:eastAsia="微软雅黑" w:cs="宋体"/>
          <w:szCs w:val="21"/>
        </w:rPr>
      </w:pP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制：</w:t>
      </w:r>
      <w:r>
        <w:rPr>
          <w:rFonts w:hint="eastAsia" w:ascii="微软雅黑" w:hAnsi="微软雅黑" w:eastAsia="微软雅黑" w:cs="宋体"/>
          <w:color w:val="000011"/>
          <w:szCs w:val="21"/>
        </w:rPr>
        <w:t>学制一年</w:t>
      </w:r>
      <w:r>
        <w:rPr>
          <w:rFonts w:hint="eastAsia" w:ascii="微软雅黑" w:hAnsi="微软雅黑" w:eastAsia="微软雅黑" w:cs="宋体"/>
          <w:color w:val="000011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11"/>
          <w:szCs w:val="21"/>
          <w:lang w:val="en-US" w:eastAsia="zh-CN"/>
        </w:rPr>
        <w:t>共12次课</w:t>
      </w:r>
      <w:r>
        <w:rPr>
          <w:rFonts w:hint="eastAsia" w:ascii="微软雅黑" w:hAnsi="微软雅黑" w:eastAsia="微软雅黑" w:cs="宋体"/>
          <w:color w:val="000011"/>
          <w:szCs w:val="21"/>
          <w:lang w:eastAsia="zh-CN"/>
        </w:rPr>
        <w:t>）</w:t>
      </w:r>
      <w:r>
        <w:rPr>
          <w:rFonts w:hint="eastAsia" w:ascii="微软雅黑" w:hAnsi="微软雅黑" w:eastAsia="微软雅黑" w:cs="宋体"/>
          <w:color w:val="000011"/>
          <w:szCs w:val="21"/>
        </w:rPr>
        <w:t>，每月集中授课2天</w:t>
      </w:r>
      <w:r>
        <w:rPr>
          <w:rFonts w:hint="eastAsia" w:ascii="微软雅黑" w:hAnsi="微软雅黑" w:eastAsia="微软雅黑" w:cs="宋体"/>
          <w:szCs w:val="21"/>
        </w:rPr>
        <w:t>；</w:t>
      </w:r>
    </w:p>
    <w:p>
      <w:pPr>
        <w:numPr>
          <w:ilvl w:val="0"/>
          <w:numId w:val="0"/>
        </w:numPr>
        <w:tabs>
          <w:tab w:val="left" w:pos="360"/>
        </w:tabs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费：人民币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C00000"/>
          <w:szCs w:val="21"/>
          <w:lang w:val="en-US" w:eastAsia="zh-CN"/>
        </w:rPr>
        <w:t xml:space="preserve">4.98 </w:t>
      </w:r>
      <w:r>
        <w:rPr>
          <w:rFonts w:hint="eastAsia" w:ascii="微软雅黑" w:hAnsi="微软雅黑" w:eastAsia="微软雅黑" w:cs="宋体"/>
          <w:szCs w:val="21"/>
        </w:rPr>
        <w:t>万元</w:t>
      </w:r>
      <w:r>
        <w:rPr>
          <w:rFonts w:ascii="微软雅黑" w:hAnsi="微软雅黑" w:eastAsia="微软雅黑" w:cs="宋体"/>
          <w:szCs w:val="21"/>
        </w:rPr>
        <w:t>/</w:t>
      </w:r>
      <w:r>
        <w:rPr>
          <w:rFonts w:hint="eastAsia" w:ascii="微软雅黑" w:hAnsi="微软雅黑" w:eastAsia="微软雅黑" w:cs="宋体"/>
          <w:szCs w:val="21"/>
        </w:rPr>
        <w:t>人（包括</w:t>
      </w:r>
      <w:r>
        <w:rPr>
          <w:rFonts w:hint="eastAsia" w:ascii="微软雅黑" w:hAnsi="微软雅黑" w:eastAsia="微软雅黑" w:cs="宋体"/>
          <w:szCs w:val="21"/>
          <w:lang w:eastAsia="zh-CN"/>
        </w:rPr>
        <w:t>：</w:t>
      </w:r>
      <w:r>
        <w:rPr>
          <w:rFonts w:hint="eastAsia" w:ascii="微软雅黑" w:hAnsi="微软雅黑" w:eastAsia="微软雅黑" w:cs="宋体"/>
          <w:szCs w:val="21"/>
        </w:rPr>
        <w:t>报名费、学费、书本资料费、教学管理费、拓展培训费；学期期间的食宿费、交通费及国内外考察费自理）</w:t>
      </w: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地点：北京</w:t>
      </w: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微软雅黑" w:hAnsi="微软雅黑" w:eastAsia="微软雅黑" w:cs="宋体"/>
          <w:szCs w:val="21"/>
        </w:rPr>
      </w:pP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微软雅黑" w:hAnsi="微软雅黑" w:eastAsia="微软雅黑" w:cs="宋体"/>
          <w:szCs w:val="21"/>
        </w:rPr>
      </w:pPr>
    </w:p>
    <w:p>
      <w:pPr>
        <w:pStyle w:val="6"/>
        <w:widowControl/>
        <w:shd w:val="clear" w:color="auto" w:fill="FFFFFF"/>
        <w:spacing w:before="156" w:beforeLines="50" w:beforeAutospacing="0" w:afterAutospacing="0" w:line="360" w:lineRule="exact"/>
        <w:ind w:firstLine="1801" w:firstLineChars="500"/>
        <w:jc w:val="both"/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</w:pPr>
    </w:p>
    <w:p>
      <w:pPr>
        <w:pStyle w:val="6"/>
        <w:widowControl/>
        <w:shd w:val="clear" w:color="auto" w:fill="FFFFFF"/>
        <w:spacing w:before="156" w:beforeLines="50" w:beforeAutospacing="0" w:afterAutospacing="0" w:line="360" w:lineRule="exact"/>
        <w:ind w:firstLine="1801" w:firstLineChars="500"/>
        <w:jc w:val="both"/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  <w:t>标杆地产金融EMBA总裁研修班</w:t>
      </w:r>
    </w:p>
    <w:p>
      <w:pPr>
        <w:pStyle w:val="6"/>
        <w:widowControl/>
        <w:shd w:val="clear" w:color="auto" w:fill="FFFFFF"/>
        <w:spacing w:before="156" w:beforeLines="50" w:beforeAutospacing="0" w:afterAutospacing="0" w:line="360" w:lineRule="exact"/>
        <w:ind w:firstLine="3242" w:firstLineChars="900"/>
        <w:jc w:val="both"/>
        <w:rPr>
          <w:rFonts w:hint="eastAsia" w:ascii="微软雅黑" w:hAnsi="微软雅黑" w:eastAsia="微软雅黑" w:cs="微软雅黑"/>
          <w:b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6"/>
          <w:szCs w:val="36"/>
          <w:lang w:eastAsia="zh-CN"/>
        </w:rPr>
        <w:t>报名申请表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黑体" w:hAnsi="宋体" w:eastAsia="黑体" w:cs="宋体"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黑体" w:hAnsi="宋体" w:eastAsia="黑体" w:cs="宋体"/>
          <w:bCs/>
          <w:kern w:val="0"/>
          <w:szCs w:val="21"/>
        </w:rPr>
        <w:t>地点：北京大学</w:t>
      </w:r>
      <w:r>
        <w:rPr>
          <w:rFonts w:hint="eastAsia" w:ascii="黑体" w:hAnsi="宋体" w:eastAsia="黑体" w:cs="宋体"/>
          <w:bCs/>
          <w:kern w:val="0"/>
          <w:szCs w:val="21"/>
          <w:lang w:val="en-US" w:eastAsia="zh-CN"/>
        </w:rPr>
        <w:t xml:space="preserve">                              </w:t>
      </w:r>
      <w:r>
        <w:rPr>
          <w:rFonts w:hint="eastAsia" w:ascii="黑体" w:hAnsi="宋体" w:eastAsia="黑体" w:cs="宋体"/>
          <w:bCs/>
          <w:kern w:val="0"/>
          <w:szCs w:val="21"/>
          <w:lang w:eastAsia="zh-CN"/>
        </w:rPr>
        <w:t>联系人：吴老师</w:t>
      </w:r>
      <w:r>
        <w:rPr>
          <w:rFonts w:hint="eastAsia" w:ascii="黑体" w:hAnsi="宋体" w:eastAsia="黑体" w:cs="宋体"/>
          <w:bCs/>
          <w:kern w:val="0"/>
          <w:szCs w:val="21"/>
          <w:lang w:val="en-US" w:eastAsia="zh-CN"/>
        </w:rPr>
        <w:t xml:space="preserve"> 18612651218（微信同号）</w:t>
      </w:r>
    </w:p>
    <w:tbl>
      <w:tblPr>
        <w:tblStyle w:val="8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668"/>
        <w:gridCol w:w="1276"/>
        <w:gridCol w:w="1135"/>
        <w:gridCol w:w="709"/>
        <w:gridCol w:w="141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6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668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性    别</w:t>
            </w:r>
          </w:p>
        </w:tc>
        <w:tc>
          <w:tcPr>
            <w:tcW w:w="1844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89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民   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专    业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单位电话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单位传真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现任职务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担任年限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E—MAIL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单位名称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单位网址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单位地址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邮政编码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经营范围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资产规模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年营业额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员工人数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学习目标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兴趣、爱好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文体特长</w:t>
            </w:r>
          </w:p>
        </w:tc>
        <w:tc>
          <w:tcPr>
            <w:tcW w:w="4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学习经历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您是通过什么途径了解到本招生信息的：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□报纸(注明名称):                  □杂志(注明名称):                 □我院网站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□其它网站(注明名称):              □我院刊物（院报、院刊等）        □媒体报道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□信件                             □其它(注明情况)：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□朋友推荐(如推荐人为我院老学员,请务必注明:推荐人姓名   所属班级)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是否需要协助预定住宿:  □否 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szCs w:val="20"/>
              </w:rPr>
            </w:pPr>
            <w:r>
              <w:rPr>
                <w:rFonts w:hint="eastAsia" w:ascii="Times New Roman" w:hAnsi="Times New Roman" w:eastAsia="宋体" w:cs="宋体"/>
                <w:szCs w:val="20"/>
              </w:rPr>
              <w:t>此表复印或传真均有效，请务必详细真实填写上述信息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请将学费通过银行汇入指定运营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帐户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微软雅黑" w:hAnsi="微软雅黑" w:eastAsia="微软雅黑" w:cs="宋体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even"/>
      <w:pgSz w:w="11906" w:h="16838"/>
      <w:pgMar w:top="1440" w:right="1418" w:bottom="1247" w:left="1418" w:header="340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1270" t="0" r="0" b="254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+L3UTQ&#10;AAAAAgEAAA8AAAAAAAAAAQAgAAAAIgAAAGRycy9kb3ducmV2LnhtbFBLAQIUABQAAAAIAIdO4kA/&#10;43xc7wEAALQDAAAOAAAAAAAAAAEAIAAAAB8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00"/>
      </w:tabs>
    </w:pPr>
    <w:r>
      <w:rPr>
        <w:color w:val="000000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CBE"/>
    <w:multiLevelType w:val="multilevel"/>
    <w:tmpl w:val="2B081CB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A463E64"/>
    <w:multiLevelType w:val="multilevel"/>
    <w:tmpl w:val="3A463E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015"/>
    <w:rsid w:val="00042A13"/>
    <w:rsid w:val="000538D7"/>
    <w:rsid w:val="000B7311"/>
    <w:rsid w:val="000E05F1"/>
    <w:rsid w:val="00133A5E"/>
    <w:rsid w:val="0014352D"/>
    <w:rsid w:val="00144895"/>
    <w:rsid w:val="00172A27"/>
    <w:rsid w:val="001805B9"/>
    <w:rsid w:val="001B21AD"/>
    <w:rsid w:val="001F3E7B"/>
    <w:rsid w:val="0027398E"/>
    <w:rsid w:val="00282D9F"/>
    <w:rsid w:val="00286C08"/>
    <w:rsid w:val="00302547"/>
    <w:rsid w:val="003B7852"/>
    <w:rsid w:val="003C0619"/>
    <w:rsid w:val="003D6D6C"/>
    <w:rsid w:val="003E633D"/>
    <w:rsid w:val="00400A71"/>
    <w:rsid w:val="00422814"/>
    <w:rsid w:val="00460211"/>
    <w:rsid w:val="00541DAF"/>
    <w:rsid w:val="005936E6"/>
    <w:rsid w:val="005D4CAC"/>
    <w:rsid w:val="00653A8A"/>
    <w:rsid w:val="006A2FD7"/>
    <w:rsid w:val="006B51C5"/>
    <w:rsid w:val="006C6A56"/>
    <w:rsid w:val="007E5126"/>
    <w:rsid w:val="008449B2"/>
    <w:rsid w:val="00845B65"/>
    <w:rsid w:val="008A40EA"/>
    <w:rsid w:val="008B2F52"/>
    <w:rsid w:val="008D0C2A"/>
    <w:rsid w:val="008F6922"/>
    <w:rsid w:val="00916890"/>
    <w:rsid w:val="00993ABD"/>
    <w:rsid w:val="009B7071"/>
    <w:rsid w:val="009C2032"/>
    <w:rsid w:val="00A565F3"/>
    <w:rsid w:val="00AD7296"/>
    <w:rsid w:val="00B2631D"/>
    <w:rsid w:val="00C1770E"/>
    <w:rsid w:val="00C345EC"/>
    <w:rsid w:val="00C41F31"/>
    <w:rsid w:val="00CB6866"/>
    <w:rsid w:val="00D15E05"/>
    <w:rsid w:val="00D6556D"/>
    <w:rsid w:val="00D939A6"/>
    <w:rsid w:val="00DA3015"/>
    <w:rsid w:val="00DA34AA"/>
    <w:rsid w:val="00DB06A1"/>
    <w:rsid w:val="00DC27A9"/>
    <w:rsid w:val="00DD7257"/>
    <w:rsid w:val="00E5317A"/>
    <w:rsid w:val="00EB28D8"/>
    <w:rsid w:val="00EF48F4"/>
    <w:rsid w:val="00F15B76"/>
    <w:rsid w:val="00F35572"/>
    <w:rsid w:val="00F52DEB"/>
    <w:rsid w:val="00F766C4"/>
    <w:rsid w:val="00F814B3"/>
    <w:rsid w:val="00F950F6"/>
    <w:rsid w:val="00FA302E"/>
    <w:rsid w:val="00FE5890"/>
    <w:rsid w:val="01AF70BC"/>
    <w:rsid w:val="01CD48D5"/>
    <w:rsid w:val="01DB1C83"/>
    <w:rsid w:val="028052B2"/>
    <w:rsid w:val="05716ACB"/>
    <w:rsid w:val="05D57DAC"/>
    <w:rsid w:val="06DA2893"/>
    <w:rsid w:val="075F54B9"/>
    <w:rsid w:val="081D6F74"/>
    <w:rsid w:val="084D2E28"/>
    <w:rsid w:val="0B2A6A6B"/>
    <w:rsid w:val="0C0E2953"/>
    <w:rsid w:val="0DE35144"/>
    <w:rsid w:val="0E300C52"/>
    <w:rsid w:val="115138AA"/>
    <w:rsid w:val="11F07FC5"/>
    <w:rsid w:val="154C44FE"/>
    <w:rsid w:val="15621E34"/>
    <w:rsid w:val="16A52BCD"/>
    <w:rsid w:val="17432063"/>
    <w:rsid w:val="190B5365"/>
    <w:rsid w:val="19ED2AEF"/>
    <w:rsid w:val="1A572240"/>
    <w:rsid w:val="1BD5023C"/>
    <w:rsid w:val="1C9B477A"/>
    <w:rsid w:val="1CEB0AD5"/>
    <w:rsid w:val="1D5B525A"/>
    <w:rsid w:val="1DF779F4"/>
    <w:rsid w:val="243A3CA6"/>
    <w:rsid w:val="24D754C6"/>
    <w:rsid w:val="25CC4376"/>
    <w:rsid w:val="261B2FC8"/>
    <w:rsid w:val="274A09B0"/>
    <w:rsid w:val="27BA4658"/>
    <w:rsid w:val="280B4EF5"/>
    <w:rsid w:val="28435B94"/>
    <w:rsid w:val="29AA0B66"/>
    <w:rsid w:val="2AC639FA"/>
    <w:rsid w:val="2AF433F9"/>
    <w:rsid w:val="2AFD059F"/>
    <w:rsid w:val="2B2537BF"/>
    <w:rsid w:val="2BCC1CEF"/>
    <w:rsid w:val="2D511836"/>
    <w:rsid w:val="2D5B3B8C"/>
    <w:rsid w:val="2F2C64AB"/>
    <w:rsid w:val="2FB7721F"/>
    <w:rsid w:val="3127620C"/>
    <w:rsid w:val="32426CB5"/>
    <w:rsid w:val="33A036D2"/>
    <w:rsid w:val="34107DA1"/>
    <w:rsid w:val="34BF0D97"/>
    <w:rsid w:val="35C70777"/>
    <w:rsid w:val="3777615A"/>
    <w:rsid w:val="384174A1"/>
    <w:rsid w:val="39442FF4"/>
    <w:rsid w:val="39E36C37"/>
    <w:rsid w:val="3C406F1D"/>
    <w:rsid w:val="3D0D0455"/>
    <w:rsid w:val="3D3D4D7A"/>
    <w:rsid w:val="3D9A7DA8"/>
    <w:rsid w:val="3EDB2BFD"/>
    <w:rsid w:val="41313893"/>
    <w:rsid w:val="441002E8"/>
    <w:rsid w:val="448F53E6"/>
    <w:rsid w:val="465C25CD"/>
    <w:rsid w:val="47C54617"/>
    <w:rsid w:val="47FE5F54"/>
    <w:rsid w:val="4BE20689"/>
    <w:rsid w:val="4BE851C6"/>
    <w:rsid w:val="4C425F6A"/>
    <w:rsid w:val="4C975116"/>
    <w:rsid w:val="4EC578F6"/>
    <w:rsid w:val="4F9372C4"/>
    <w:rsid w:val="4FE52FDF"/>
    <w:rsid w:val="52C81DA0"/>
    <w:rsid w:val="56172C92"/>
    <w:rsid w:val="5630710B"/>
    <w:rsid w:val="56696663"/>
    <w:rsid w:val="58A4779A"/>
    <w:rsid w:val="5B9C1DE6"/>
    <w:rsid w:val="5CBD16D2"/>
    <w:rsid w:val="5F7B404C"/>
    <w:rsid w:val="5F8C292E"/>
    <w:rsid w:val="5FC518BC"/>
    <w:rsid w:val="5FF10FBD"/>
    <w:rsid w:val="60314A9D"/>
    <w:rsid w:val="60503A98"/>
    <w:rsid w:val="61487F20"/>
    <w:rsid w:val="6250327E"/>
    <w:rsid w:val="6373512C"/>
    <w:rsid w:val="63D44914"/>
    <w:rsid w:val="64AC1743"/>
    <w:rsid w:val="65F0259B"/>
    <w:rsid w:val="66BB3C93"/>
    <w:rsid w:val="68162155"/>
    <w:rsid w:val="687677EC"/>
    <w:rsid w:val="68CB3424"/>
    <w:rsid w:val="68E80F03"/>
    <w:rsid w:val="6ACF5D0C"/>
    <w:rsid w:val="6AF36BDC"/>
    <w:rsid w:val="6C701AAA"/>
    <w:rsid w:val="6DE2209D"/>
    <w:rsid w:val="70376D7E"/>
    <w:rsid w:val="70621530"/>
    <w:rsid w:val="706E40AF"/>
    <w:rsid w:val="70A32536"/>
    <w:rsid w:val="70FA110E"/>
    <w:rsid w:val="72A43158"/>
    <w:rsid w:val="73CF44CE"/>
    <w:rsid w:val="74981235"/>
    <w:rsid w:val="7587002C"/>
    <w:rsid w:val="78BC7A35"/>
    <w:rsid w:val="7952666C"/>
    <w:rsid w:val="79732D9B"/>
    <w:rsid w:val="7A1612FE"/>
    <w:rsid w:val="7B685698"/>
    <w:rsid w:val="7C4F6818"/>
    <w:rsid w:val="7E1B43F7"/>
    <w:rsid w:val="7E504713"/>
    <w:rsid w:val="7F6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Strong"/>
    <w:qFormat/>
    <w:uiPriority w:val="22"/>
    <w:rPr>
      <w:b/>
    </w:rPr>
  </w:style>
  <w:style w:type="character" w:styleId="11">
    <w:name w:val="page number"/>
    <w:unhideWhenUsed/>
    <w:qFormat/>
    <w:uiPriority w:val="99"/>
    <w:rPr>
      <w:rFonts w:cs="Times New Roman"/>
    </w:rPr>
  </w:style>
  <w:style w:type="character" w:styleId="12">
    <w:name w:val="FollowedHyperlink"/>
    <w:unhideWhenUsed/>
    <w:qFormat/>
    <w:uiPriority w:val="99"/>
    <w:rPr>
      <w:color w:val="535353"/>
      <w:u w:val="none"/>
    </w:rPr>
  </w:style>
  <w:style w:type="character" w:styleId="13">
    <w:name w:val="Hyperlink"/>
    <w:qFormat/>
    <w:uiPriority w:val="0"/>
    <w:rPr>
      <w:color w:val="535353"/>
      <w:u w:val="none"/>
    </w:rPr>
  </w:style>
  <w:style w:type="character" w:styleId="14">
    <w:name w:val="annotation reference"/>
    <w:unhideWhenUsed/>
    <w:qFormat/>
    <w:uiPriority w:val="99"/>
    <w:rPr>
      <w:rFonts w:cs="Times New Roman"/>
      <w:sz w:val="21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diagramColors" Target="diagrams/colors1.xml"/><Relationship Id="rId14" Type="http://schemas.openxmlformats.org/officeDocument/2006/relationships/diagramQuickStyle" Target="diagrams/quickStyle1.xml"/><Relationship Id="rId13" Type="http://schemas.openxmlformats.org/officeDocument/2006/relationships/diagramLayout" Target="diagrams/layout1.xml"/><Relationship Id="rId12" Type="http://schemas.openxmlformats.org/officeDocument/2006/relationships/diagramData" Target="diagrams/data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303AF-5983-4330-9EBF-540F096D0CA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F61BEA8-2B5A-4959-BA13-0A1860B3DA26}">
      <dgm:prSet phldrT="[文本]"/>
      <dgm:spPr/>
      <dgm:t>
        <a:bodyPr/>
        <a:p>
          <a:r>
            <a:rPr lang="zh-CN" altLang="en-US"/>
            <a:t>领导能力</a:t>
          </a:r>
        </a:p>
      </dgm:t>
    </dgm:pt>
    <dgm:pt modelId="{AA3E8FAB-4931-4770-87B3-422CA36BEFAA}" cxnId="{6FAE90A2-C9B1-40BC-8A31-07AD27FBE335}" type="parTrans">
      <dgm:prSet/>
      <dgm:spPr/>
      <dgm:t>
        <a:bodyPr/>
        <a:p>
          <a:endParaRPr lang="zh-CN" altLang="en-US"/>
        </a:p>
      </dgm:t>
    </dgm:pt>
    <dgm:pt modelId="{8AE4EA0C-7C5A-4B1C-BC96-FAA6928C2E3E}" cxnId="{6FAE90A2-C9B1-40BC-8A31-07AD27FBE335}" type="sibTrans">
      <dgm:prSet/>
      <dgm:spPr/>
      <dgm:t>
        <a:bodyPr/>
        <a:p>
          <a:endParaRPr lang="zh-CN" altLang="en-US"/>
        </a:p>
      </dgm:t>
    </dgm:pt>
    <dgm:pt modelId="{9473E939-7800-45F6-9D7F-BF90A8D7ABD6}">
      <dgm:prSet phldrT="[文本]"/>
      <dgm:spPr/>
      <dgm:t>
        <a:bodyPr/>
        <a:p>
          <a:r>
            <a:rPr lang="zh-CN" altLang="en-US"/>
            <a:t>资本运营能力</a:t>
          </a:r>
        </a:p>
      </dgm:t>
    </dgm:pt>
    <dgm:pt modelId="{B639E48F-138E-43E7-BF45-9F2F6613EB8B}" cxnId="{811FE72D-989F-49B2-B374-D38621CC94F0}" type="parTrans">
      <dgm:prSet/>
      <dgm:spPr/>
      <dgm:t>
        <a:bodyPr/>
        <a:p>
          <a:endParaRPr lang="zh-CN" altLang="en-US"/>
        </a:p>
      </dgm:t>
    </dgm:pt>
    <dgm:pt modelId="{F29E6C1D-0604-4DEF-BAB4-C897E25EA699}" cxnId="{811FE72D-989F-49B2-B374-D38621CC94F0}" type="sibTrans">
      <dgm:prSet/>
      <dgm:spPr/>
      <dgm:t>
        <a:bodyPr/>
        <a:p>
          <a:endParaRPr lang="zh-CN" altLang="en-US"/>
        </a:p>
      </dgm:t>
    </dgm:pt>
    <dgm:pt modelId="{856860DE-53E2-4668-A2A4-DD3EA2371F25}">
      <dgm:prSet phldrT="[文本]"/>
      <dgm:spPr/>
      <dgm:t>
        <a:bodyPr/>
        <a:p>
          <a:r>
            <a:rPr lang="zh-CN" altLang="en-US"/>
            <a:t>开发</a:t>
          </a:r>
          <a:endParaRPr lang="en-US" altLang="zh-CN"/>
        </a:p>
        <a:p>
          <a:r>
            <a:rPr lang="zh-CN" altLang="en-US"/>
            <a:t> 能力</a:t>
          </a:r>
        </a:p>
      </dgm:t>
    </dgm:pt>
    <dgm:pt modelId="{5A6A44D7-9C2A-47C6-9703-FD69E90CE9BB}" cxnId="{D47F3DA6-EB5E-43D3-B876-3681D077ECB3}" type="parTrans">
      <dgm:prSet/>
      <dgm:spPr/>
      <dgm:t>
        <a:bodyPr/>
        <a:p>
          <a:endParaRPr lang="zh-CN" altLang="en-US"/>
        </a:p>
      </dgm:t>
    </dgm:pt>
    <dgm:pt modelId="{62E1F585-36F5-47C5-9D22-4EC2AEF5323E}" cxnId="{D47F3DA6-EB5E-43D3-B876-3681D077ECB3}" type="sibTrans">
      <dgm:prSet/>
      <dgm:spPr/>
      <dgm:t>
        <a:bodyPr/>
        <a:p>
          <a:endParaRPr lang="zh-CN" altLang="en-US"/>
        </a:p>
      </dgm:t>
    </dgm:pt>
    <dgm:pt modelId="{6C49F231-DFD5-4E15-91BE-F49A1EE6703B}" type="pres">
      <dgm:prSet presAssocID="{2D0303AF-5983-4330-9EBF-540F096D0CA3}" presName="compositeShape" presStyleCnt="0">
        <dgm:presLayoutVars>
          <dgm:chMax val="7"/>
          <dgm:dir/>
          <dgm:resizeHandles val="exact"/>
        </dgm:presLayoutVars>
      </dgm:prSet>
      <dgm:spPr/>
    </dgm:pt>
    <dgm:pt modelId="{CB11B310-F4F7-4255-B3B6-B99B9AD65B07}" type="pres">
      <dgm:prSet presAssocID="{CF61BEA8-2B5A-4959-BA13-0A1860B3DA26}" presName="circ1" presStyleLbl="vennNode1" presStyleIdx="0" presStyleCnt="3"/>
      <dgm:spPr/>
    </dgm:pt>
    <dgm:pt modelId="{98A3130A-EBB5-482D-AE8A-B4BB1C680BE0}" type="pres">
      <dgm:prSet presAssocID="{CF61BEA8-2B5A-4959-BA13-0A1860B3DA2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562D7AD-3052-441F-904A-7E28B82E22DC}" type="pres">
      <dgm:prSet presAssocID="{9473E939-7800-45F6-9D7F-BF90A8D7ABD6}" presName="circ2" presStyleLbl="vennNode1" presStyleIdx="1" presStyleCnt="3"/>
      <dgm:spPr/>
    </dgm:pt>
    <dgm:pt modelId="{B0BC56CF-42D0-42F0-ADE0-34C9E388343D}" type="pres">
      <dgm:prSet presAssocID="{9473E939-7800-45F6-9D7F-BF90A8D7ABD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7A0D121-F79D-4769-AD67-9EDF6B00B354}" type="pres">
      <dgm:prSet presAssocID="{856860DE-53E2-4668-A2A4-DD3EA2371F25}" presName="circ3" presStyleLbl="vennNode1" presStyleIdx="2" presStyleCnt="3"/>
      <dgm:spPr/>
    </dgm:pt>
    <dgm:pt modelId="{F08CD546-C93B-4D09-86AF-6CFC982DD124}" type="pres">
      <dgm:prSet presAssocID="{856860DE-53E2-4668-A2A4-DD3EA2371F2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1557F20-67DA-4811-9B40-45E1770E71B5}" type="presOf" srcId="{9473E939-7800-45F6-9D7F-BF90A8D7ABD6}" destId="{7562D7AD-3052-441F-904A-7E28B82E22DC}" srcOrd="0" destOrd="0" presId="urn:microsoft.com/office/officeart/2005/8/layout/venn1"/>
    <dgm:cxn modelId="{811FE72D-989F-49B2-B374-D38621CC94F0}" srcId="{2D0303AF-5983-4330-9EBF-540F096D0CA3}" destId="{9473E939-7800-45F6-9D7F-BF90A8D7ABD6}" srcOrd="1" destOrd="0" parTransId="{B639E48F-138E-43E7-BF45-9F2F6613EB8B}" sibTransId="{F29E6C1D-0604-4DEF-BAB4-C897E25EA699}"/>
    <dgm:cxn modelId="{9CE35083-4DEE-4FAD-9C02-7929846872A4}" type="presOf" srcId="{CF61BEA8-2B5A-4959-BA13-0A1860B3DA26}" destId="{98A3130A-EBB5-482D-AE8A-B4BB1C680BE0}" srcOrd="1" destOrd="0" presId="urn:microsoft.com/office/officeart/2005/8/layout/venn1"/>
    <dgm:cxn modelId="{810B5086-121D-440B-835A-EC638638AF17}" type="presOf" srcId="{9473E939-7800-45F6-9D7F-BF90A8D7ABD6}" destId="{B0BC56CF-42D0-42F0-ADE0-34C9E388343D}" srcOrd="1" destOrd="0" presId="urn:microsoft.com/office/officeart/2005/8/layout/venn1"/>
    <dgm:cxn modelId="{FF6FF989-FE37-4885-A14F-D84C847BDC8F}" type="presOf" srcId="{856860DE-53E2-4668-A2A4-DD3EA2371F25}" destId="{F08CD546-C93B-4D09-86AF-6CFC982DD124}" srcOrd="1" destOrd="0" presId="urn:microsoft.com/office/officeart/2005/8/layout/venn1"/>
    <dgm:cxn modelId="{6FAE90A2-C9B1-40BC-8A31-07AD27FBE335}" srcId="{2D0303AF-5983-4330-9EBF-540F096D0CA3}" destId="{CF61BEA8-2B5A-4959-BA13-0A1860B3DA26}" srcOrd="0" destOrd="0" parTransId="{AA3E8FAB-4931-4770-87B3-422CA36BEFAA}" sibTransId="{8AE4EA0C-7C5A-4B1C-BC96-FAA6928C2E3E}"/>
    <dgm:cxn modelId="{D47F3DA6-EB5E-43D3-B876-3681D077ECB3}" srcId="{2D0303AF-5983-4330-9EBF-540F096D0CA3}" destId="{856860DE-53E2-4668-A2A4-DD3EA2371F25}" srcOrd="2" destOrd="0" parTransId="{5A6A44D7-9C2A-47C6-9703-FD69E90CE9BB}" sibTransId="{62E1F585-36F5-47C5-9D22-4EC2AEF5323E}"/>
    <dgm:cxn modelId="{4EDB7AB7-2FCF-439E-A21F-E748F6E4C21E}" type="presOf" srcId="{856860DE-53E2-4668-A2A4-DD3EA2371F25}" destId="{77A0D121-F79D-4769-AD67-9EDF6B00B354}" srcOrd="0" destOrd="0" presId="urn:microsoft.com/office/officeart/2005/8/layout/venn1"/>
    <dgm:cxn modelId="{0CC1AFBE-172B-496C-97EF-B363136E9BCD}" type="presOf" srcId="{2D0303AF-5983-4330-9EBF-540F096D0CA3}" destId="{6C49F231-DFD5-4E15-91BE-F49A1EE6703B}" srcOrd="0" destOrd="0" presId="urn:microsoft.com/office/officeart/2005/8/layout/venn1"/>
    <dgm:cxn modelId="{727A8FF4-F033-4A28-B6C6-DB9BADD23FD1}" type="presOf" srcId="{CF61BEA8-2B5A-4959-BA13-0A1860B3DA26}" destId="{CB11B310-F4F7-4255-B3B6-B99B9AD65B07}" srcOrd="0" destOrd="0" presId="urn:microsoft.com/office/officeart/2005/8/layout/venn1"/>
    <dgm:cxn modelId="{80B8D34D-57A1-4319-AFFE-751FF9C6A538}" type="presParOf" srcId="{6C49F231-DFD5-4E15-91BE-F49A1EE6703B}" destId="{CB11B310-F4F7-4255-B3B6-B99B9AD65B07}" srcOrd="0" destOrd="0" presId="urn:microsoft.com/office/officeart/2005/8/layout/venn1"/>
    <dgm:cxn modelId="{83BCF3E7-5DB0-4442-A642-6D9F38F71F8D}" type="presParOf" srcId="{6C49F231-DFD5-4E15-91BE-F49A1EE6703B}" destId="{98A3130A-EBB5-482D-AE8A-B4BB1C680BE0}" srcOrd="1" destOrd="0" presId="urn:microsoft.com/office/officeart/2005/8/layout/venn1"/>
    <dgm:cxn modelId="{F7384D1B-C237-4D06-B59C-EFC67E843AAA}" type="presParOf" srcId="{6C49F231-DFD5-4E15-91BE-F49A1EE6703B}" destId="{7562D7AD-3052-441F-904A-7E28B82E22DC}" srcOrd="2" destOrd="0" presId="urn:microsoft.com/office/officeart/2005/8/layout/venn1"/>
    <dgm:cxn modelId="{29462A58-7B8F-4E9E-9C6D-18450CC6ADA6}" type="presParOf" srcId="{6C49F231-DFD5-4E15-91BE-F49A1EE6703B}" destId="{B0BC56CF-42D0-42F0-ADE0-34C9E388343D}" srcOrd="3" destOrd="0" presId="urn:microsoft.com/office/officeart/2005/8/layout/venn1"/>
    <dgm:cxn modelId="{8860ADAF-2D5C-4B99-9508-3602118FFF1B}" type="presParOf" srcId="{6C49F231-DFD5-4E15-91BE-F49A1EE6703B}" destId="{77A0D121-F79D-4769-AD67-9EDF6B00B354}" srcOrd="4" destOrd="0" presId="urn:microsoft.com/office/officeart/2005/8/layout/venn1"/>
    <dgm:cxn modelId="{7C0239AF-052E-4B0F-9744-7CBDB2D367C9}" type="presParOf" srcId="{6C49F231-DFD5-4E15-91BE-F49A1EE6703B}" destId="{F08CD546-C93B-4D09-86AF-6CFC982DD124}" srcOrd="5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11B310-F4F7-4255-B3B6-B99B9AD65B07}">
      <dsp:nvSpPr>
        <dsp:cNvPr id="0" name=""/>
        <dsp:cNvSpPr/>
      </dsp:nvSpPr>
      <dsp:spPr>
        <a:xfrm>
          <a:off x="1094104" y="18176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领导能力</a:t>
          </a:r>
        </a:p>
      </dsp:txBody>
      <dsp:txXfrm>
        <a:off x="1210437" y="170862"/>
        <a:ext cx="639826" cy="392620"/>
      </dsp:txXfrm>
    </dsp:sp>
    <dsp:sp modelId="{7562D7AD-3052-441F-904A-7E28B82E22DC}">
      <dsp:nvSpPr>
        <dsp:cNvPr id="0" name=""/>
        <dsp:cNvSpPr/>
      </dsp:nvSpPr>
      <dsp:spPr>
        <a:xfrm>
          <a:off x="1408928" y="563483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资本运营能力</a:t>
          </a:r>
        </a:p>
      </dsp:txBody>
      <dsp:txXfrm>
        <a:off x="1675765" y="788876"/>
        <a:ext cx="523494" cy="479869"/>
      </dsp:txXfrm>
    </dsp:sp>
    <dsp:sp modelId="{77A0D121-F79D-4769-AD67-9EDF6B00B354}">
      <dsp:nvSpPr>
        <dsp:cNvPr id="0" name=""/>
        <dsp:cNvSpPr/>
      </dsp:nvSpPr>
      <dsp:spPr>
        <a:xfrm>
          <a:off x="779281" y="563483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开发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 能力</a:t>
          </a:r>
        </a:p>
      </dsp:txBody>
      <dsp:txXfrm>
        <a:off x="861441" y="788876"/>
        <a:ext cx="523494" cy="479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3550</Words>
  <Characters>3640</Characters>
  <Lines>27</Lines>
  <Paragraphs>7</Paragraphs>
  <TotalTime>2</TotalTime>
  <ScaleCrop>false</ScaleCrop>
  <LinksUpToDate>false</LinksUpToDate>
  <CharactersWithSpaces>3759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2019-10-22T10:20:00Z</dcterms:created>
  <dc:creator>徐淼</dc:creator>
  <cp:lastModifiedBy>guanxin</cp:lastModifiedBy>
  <cp:lastPrinted>2018-12-20T07:20:00Z</cp:lastPrinted>
  <dcterms:modified xsi:type="dcterms:W3CDTF">2020-09-15T02:02:36Z</dcterms:modified>
  <dc:title>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